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40" w:beforeLines="0" w:after="330" w:afterLines="0" w:line="56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武汉园衍文化传媒有限公司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40" w:beforeLines="0" w:after="330" w:afterLines="0" w:line="56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/>
          <w:sz w:val="36"/>
          <w:szCs w:val="36"/>
        </w:rPr>
        <w:t>“大浪淘经”企业</w:t>
      </w:r>
      <w:r>
        <w:rPr>
          <w:rFonts w:hint="eastAsia"/>
          <w:sz w:val="36"/>
          <w:szCs w:val="36"/>
          <w:lang w:eastAsia="zh-CN"/>
        </w:rPr>
        <w:t>中高层管理人员</w:t>
      </w:r>
      <w:r>
        <w:rPr>
          <w:rFonts w:hint="eastAsia"/>
          <w:sz w:val="36"/>
          <w:szCs w:val="36"/>
        </w:rPr>
        <w:t>讲坛</w:t>
      </w:r>
      <w:r>
        <w:rPr>
          <w:rFonts w:hint="eastAsia"/>
          <w:sz w:val="36"/>
          <w:szCs w:val="36"/>
          <w:lang w:eastAsia="zh-CN"/>
        </w:rPr>
        <w:t>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课程价值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们对此次企业讲坛的课程做了精心的设计，让企业管理者既能熟悉“实业投资、不动产投资、金融投资、风险投资、私募股权投资”等各种投资方式，又能了解企业的各种融资方式，并在投融资过程中，把握资本市场的大环境、明确自身资本战略、熟悉基本流程、掌握关键点、规避法律和财务风险，在资本运营的实践中做出科学正确的投融资决策，从而实现资本快速增值。讲坛还整合了知名教授、资深实战派营销专家，融汇经典营销理论、最前沿营销理念和最佳实践，旨在培养行业领军人才，帮助企业全面提升营销水平，打造企业核心竞争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在学习过程中，能结识来自五湖四海的商业精英，从而搭建广阔的人脉平台，为拓展事业的发展空间提供切实的帮助。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二、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讲坛内容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“大浪淘经”企业讲坛拟分若干期举办，第一期有关内容拟安排如下：</w:t>
      </w:r>
    </w:p>
    <w:p>
      <w:pPr>
        <w:pStyle w:val="3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Style w:val="5"/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  <w:lang w:eastAsia="zh-CN"/>
        </w:rPr>
        <w:t>（一）</w:t>
      </w:r>
      <w:r>
        <w:rPr>
          <w:rStyle w:val="5"/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培训内容</w:t>
      </w:r>
    </w:p>
    <w:p>
      <w:pPr>
        <w:pStyle w:val="3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textAlignment w:val="auto"/>
        <w:rPr>
          <w:rFonts w:ascii="仿宋_GB2312" w:hAnsi="仿宋_GB2312" w:eastAsia="仿宋_GB2312" w:cs="仿宋_GB2312"/>
          <w:bCs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bCs/>
          <w:sz w:val="32"/>
          <w:szCs w:val="32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资本市场与建筑企业投融资决策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  <w:t>有关概念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  <w:lang w:eastAsia="zh-CN"/>
        </w:rPr>
        <w:t>①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  <w:t>资本市场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  <w:t>包括：狭义的资本市场、狭义的货币市场、广义的资本市场等；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  <w:lang w:eastAsia="zh-CN"/>
        </w:rPr>
        <w:t>②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  <w:t>企业投融资决策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  <w:t>包括：狭义的资本运作、狭义的资金运作、广义的资本运作等。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  <w:t>建筑企业资金的运作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  <w:lang w:eastAsia="zh-CN"/>
        </w:rPr>
        <w:t>①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  <w:t>应收应付票据的运作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  <w:t>包括：票据的开立、票据的贴现等；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  <w:lang w:eastAsia="zh-CN"/>
        </w:rPr>
        <w:t>②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  <w:t>应收应付账款的运作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  <w:t>包括：保理融资、质押融资、信保融资、发票融资、订单融资等；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  <w:lang w:eastAsia="zh-CN"/>
        </w:rPr>
        <w:t>③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  <w:t>预收预付账款的运作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  <w:t>包括：三方保兑仓、未来提货权质押融资、四方保兑仓、先票</w:t>
      </w:r>
      <w:r>
        <w:rPr>
          <w:rFonts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  <w:t>/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  <w:t>款后货等；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  <w:lang w:eastAsia="zh-CN"/>
        </w:rPr>
        <w:t>④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  <w:t>存货的运作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  <w:t>包括：动产质押融资、动产抵押融资、仓单质押融资、仓储公司统一授信担保融资等。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  <w:t>资金的运作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  <w:lang w:eastAsia="zh-CN"/>
        </w:rPr>
        <w:t>①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  <w:t>投资管理与运作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  <w:t>包括：投资管理的基本理念、参股型投资的运作、并购型投资的运作、固定资产投资的运作；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  <w:lang w:eastAsia="zh-CN"/>
        </w:rPr>
        <w:t>②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  <w:t>融资管理与运作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textAlignment w:val="auto"/>
        <w:rPr>
          <w:rFonts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  <w:t>包括：贷款融资、债券融资、融资租赁、股本私募、信托融资、上市融资等。</w:t>
      </w:r>
      <w:r>
        <w:rPr>
          <w:rFonts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  <w:t xml:space="preserve">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textAlignment w:val="auto"/>
        <w:rPr>
          <w:rFonts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</w:pPr>
      <w:bookmarkStart w:id="0" w:name="_GoBack"/>
      <w:bookmarkEnd w:id="0"/>
    </w:p>
    <w:p>
      <w:pPr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textAlignment w:val="auto"/>
        <w:rPr>
          <w:rFonts w:ascii="仿宋_GB2312" w:hAnsi="仿宋_GB2312" w:eastAsia="仿宋_GB2312" w:cs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建筑企业战略营销管理</w:t>
      </w:r>
      <w:r>
        <w:rPr>
          <w:rFonts w:ascii="仿宋_GB2312" w:hAnsi="仿宋_GB2312" w:eastAsia="仿宋_GB2312" w:cs="仿宋_GB2312"/>
          <w:bCs/>
          <w:sz w:val="32"/>
          <w:szCs w:val="32"/>
          <w:shd w:val="clear" w:color="auto" w:fill="FFFFFF"/>
        </w:rPr>
        <w:t xml:space="preserve">   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  <w:t>营销拜物教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textAlignment w:val="auto"/>
        <w:rPr>
          <w:rFonts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  <w:t>包括：困惑、顿悟、营销之“道”与“术”；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textAlignment w:val="auto"/>
        <w:rPr>
          <w:rFonts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  <w:t>向导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textAlignment w:val="auto"/>
        <w:rPr>
          <w:rFonts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  <w:t>包括：市场向导、顾客向导；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textAlignment w:val="auto"/>
        <w:rPr>
          <w:rFonts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  <w:t>顾客的价值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textAlignment w:val="auto"/>
        <w:rPr>
          <w:rFonts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  <w:t>包括：顾客资产的交易模式、谁是顾客；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textAlignment w:val="auto"/>
        <w:rPr>
          <w:rFonts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  <w:t>如何选择目标市场、两类顾客（市场）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textAlignment w:val="auto"/>
        <w:rPr>
          <w:rFonts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  <w:t>包括：消费者市场细分的标准、组织市场细分的标准、评估细分市场、界定目标市场；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textAlignment w:val="auto"/>
        <w:rPr>
          <w:rFonts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  <w:t>如何处理和客户之间的关系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textAlignment w:val="auto"/>
        <w:rPr>
          <w:rFonts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  <w:t>价值的多重含义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textAlignment w:val="auto"/>
        <w:rPr>
          <w:rFonts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  <w:t>包括：体验价值、三种价值；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textAlignment w:val="auto"/>
        <w:rPr>
          <w:rFonts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  <w:t>竞争向导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textAlignment w:val="auto"/>
        <w:rPr>
          <w:rFonts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  <w:t>包括：谁是我们的竞争者、确定竞争对手注意的原则、如何处理与竞争者之间的关系；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textAlignment w:val="auto"/>
        <w:rPr>
          <w:rFonts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  <w:t>市场定位战略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textAlignment w:val="auto"/>
        <w:rPr>
          <w:rFonts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  <w:t>包括：定位的含义、定位的特点、心理性定位；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textAlignment w:val="auto"/>
        <w:rPr>
          <w:rFonts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  <w:lang w:eastAsia="zh-CN"/>
        </w:rPr>
        <w:t>）</w:t>
      </w:r>
      <w:r>
        <w:rPr>
          <w:rFonts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  <w:t>USP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  <w:t>策略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textAlignment w:val="auto"/>
        <w:rPr>
          <w:rFonts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  <w:t>包括：心理基础、要点；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textAlignment w:val="auto"/>
        <w:rPr>
          <w:rFonts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  <w:t>品牌形象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textAlignment w:val="auto"/>
        <w:rPr>
          <w:rFonts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  <w:t>包括：品牌形象策略、品牌形象的选择；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textAlignment w:val="auto"/>
        <w:rPr>
          <w:rFonts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  <w:t>定位策略</w:t>
      </w:r>
    </w:p>
    <w:p>
      <w:pPr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  <w:t>包括：领导者定位、比附定位、细分定位。</w:t>
      </w:r>
    </w:p>
    <w:p>
      <w:pPr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三、时间安排</w:t>
      </w:r>
    </w:p>
    <w:tbl>
      <w:tblPr>
        <w:tblStyle w:val="6"/>
        <w:tblW w:w="8740" w:type="dxa"/>
        <w:tblInd w:w="-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727"/>
        <w:gridCol w:w="3780"/>
        <w:gridCol w:w="1466"/>
        <w:gridCol w:w="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08" w:type="dxa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1727" w:type="dxa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内容</w:t>
            </w:r>
          </w:p>
        </w:tc>
        <w:tc>
          <w:tcPr>
            <w:tcW w:w="1466" w:type="dxa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主讲人</w:t>
            </w:r>
          </w:p>
        </w:tc>
        <w:tc>
          <w:tcPr>
            <w:tcW w:w="959" w:type="dxa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8月4日</w:t>
            </w:r>
          </w:p>
          <w:p>
            <w:pPr>
              <w:keepNext w:val="0"/>
              <w:keepLines w:val="0"/>
              <w:pageBreakBefore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8:30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-8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“大浪淘经”企业讲坛开幕式致辞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协会领导</w:t>
            </w:r>
          </w:p>
        </w:tc>
        <w:tc>
          <w:tcPr>
            <w:tcW w:w="959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武</w:t>
            </w:r>
          </w:p>
          <w:p>
            <w:pPr>
              <w:keepNext w:val="0"/>
              <w:keepLines w:val="0"/>
              <w:pageBreakBefore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汉</w:t>
            </w:r>
          </w:p>
          <w:p>
            <w:pPr>
              <w:keepNext w:val="0"/>
              <w:keepLines w:val="0"/>
              <w:pageBreakBefore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东</w:t>
            </w:r>
          </w:p>
          <w:p>
            <w:pPr>
              <w:keepNext w:val="0"/>
              <w:keepLines w:val="0"/>
              <w:pageBreakBefore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湖</w:t>
            </w:r>
          </w:p>
          <w:p>
            <w:pPr>
              <w:keepNext w:val="0"/>
              <w:keepLines w:val="0"/>
              <w:pageBreakBefore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大</w:t>
            </w:r>
          </w:p>
          <w:p>
            <w:pPr>
              <w:keepNext w:val="0"/>
              <w:keepLines w:val="0"/>
              <w:pageBreakBefore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2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50-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12:00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eastAsia="zh-CN"/>
              </w:rPr>
              <w:t>资本市场与建筑企业投融资决策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余国杰</w:t>
            </w:r>
          </w:p>
        </w:tc>
        <w:tc>
          <w:tcPr>
            <w:tcW w:w="959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14:00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17:00</w:t>
            </w:r>
          </w:p>
        </w:tc>
        <w:tc>
          <w:tcPr>
            <w:tcW w:w="37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eastAsia="zh-CN"/>
              </w:rPr>
              <w:t>资本市场与建筑企业投融资决策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余国杰</w:t>
            </w:r>
          </w:p>
        </w:tc>
        <w:tc>
          <w:tcPr>
            <w:tcW w:w="959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8月5日</w:t>
            </w:r>
          </w:p>
          <w:p>
            <w:pPr>
              <w:keepNext w:val="0"/>
              <w:keepLines w:val="0"/>
              <w:pageBreakBefore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eastAsia="宋体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27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8:30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-12:00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eastAsia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eastAsia="zh-CN"/>
              </w:rPr>
              <w:t>建筑企业战略营销管理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汪涛</w:t>
            </w:r>
          </w:p>
        </w:tc>
        <w:tc>
          <w:tcPr>
            <w:tcW w:w="9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14:00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17:00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eastAsia="zh-CN"/>
              </w:rPr>
              <w:t>建筑企业战略营销管理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汪涛</w:t>
            </w:r>
          </w:p>
        </w:tc>
        <w:tc>
          <w:tcPr>
            <w:tcW w:w="959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39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color w:val="FF000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、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报名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须知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报名费用1580元/</w:t>
      </w:r>
      <w:r>
        <w:rPr>
          <w:rFonts w:hint="eastAsia" w:ascii="仿宋" w:hAnsi="仿宋" w:eastAsia="仿宋" w:cs="仿宋"/>
          <w:sz w:val="32"/>
          <w:szCs w:val="32"/>
        </w:rPr>
        <w:t>人（含培训费、教材费、会务费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sz w:val="32"/>
          <w:szCs w:val="32"/>
        </w:rPr>
        <w:t>食宿自理，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本次</w:t>
      </w:r>
      <w:r>
        <w:rPr>
          <w:rFonts w:hint="eastAsia" w:ascii="仿宋" w:hAnsi="仿宋" w:eastAsia="仿宋" w:cs="仿宋"/>
          <w:sz w:val="32"/>
          <w:szCs w:val="32"/>
        </w:rPr>
        <w:t>讲坛不设接站，请自行前往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因此次讲坛名额有限，需提前报名并交纳学费，我们将依据报名的先后顺序排列座次。交费方式为银行汇款和现金，银行汇款截止日期为7月31日。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开户名称：武汉园衍文化传媒有限公司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账号：42001865608053007124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开户行：建行武汉卓刀泉支行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同城行号：850136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跨行异地行号：1055 2100 1419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部分跨行系统选择：中国建设银行武汉光谷支行           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2E67D5D"/>
    <w:rsid w:val="02A410C4"/>
    <w:rsid w:val="0ED2602B"/>
    <w:rsid w:val="11554036"/>
    <w:rsid w:val="16DF0292"/>
    <w:rsid w:val="1CCC484A"/>
    <w:rsid w:val="2ABC21B5"/>
    <w:rsid w:val="2C824CB6"/>
    <w:rsid w:val="32E67D5D"/>
    <w:rsid w:val="44E26BFF"/>
    <w:rsid w:val="58073579"/>
    <w:rsid w:val="5845734C"/>
    <w:rsid w:val="64FC3BB1"/>
    <w:rsid w:val="6D4563E2"/>
    <w:rsid w:val="6DAE43C5"/>
    <w:rsid w:val="7A104718"/>
    <w:rsid w:val="7FB9147B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-SA"/>
    </w:rPr>
  </w:style>
  <w:style w:type="character" w:styleId="5">
    <w:name w:val="Strong"/>
    <w:basedOn w:val="4"/>
    <w:qFormat/>
    <w:uiPriority w:val="0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2016-07-07T02:12:00Z</dcterms:created>
  <dc:creator>Administrator</dc:creator>
  <cp:lastModifiedBy>Administrator</cp:lastModifiedBy>
  <cp:lastPrinted>2016-07-18T08:01:37Z</cp:lastPrinted>
  <dcterms:modified xsi:type="dcterms:W3CDTF">2016-07-18T08:02:29Z</dcterms:modified>
  <dc:title>附件一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